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C6" w:rsidRDefault="005A2EC6" w:rsidP="005A2EC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2680A80" wp14:editId="2C67A6AB">
            <wp:extent cx="2544445" cy="914400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570203" cy="9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1F71C39E" wp14:editId="6A6A418A">
            <wp:extent cx="2065020" cy="76962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4C9" w:rsidRPr="001B5108" w:rsidRDefault="005A34C9" w:rsidP="003F3BEF">
      <w:pPr>
        <w:keepNext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78507C" w:rsidRDefault="0078507C" w:rsidP="001B51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</w:pPr>
      <w:r w:rsidRPr="001B5108"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  <w:t>Индивидуальный образовательный маршрут</w:t>
      </w:r>
    </w:p>
    <w:p w:rsidR="005B336C" w:rsidRPr="002B1FD6" w:rsidRDefault="005B336C" w:rsidP="001B51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14141"/>
          <w:sz w:val="24"/>
          <w:szCs w:val="24"/>
          <w:lang w:val="en-US"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2119"/>
        <w:gridCol w:w="6922"/>
        <w:gridCol w:w="1695"/>
        <w:gridCol w:w="2925"/>
      </w:tblGrid>
      <w:tr w:rsidR="005C6EC0" w:rsidRPr="001B5108" w:rsidTr="0003036C">
        <w:trPr>
          <w:trHeight w:val="109"/>
        </w:trPr>
        <w:tc>
          <w:tcPr>
            <w:tcW w:w="2344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ФИО (полностью)</w:t>
            </w:r>
          </w:p>
        </w:tc>
        <w:tc>
          <w:tcPr>
            <w:tcW w:w="13661" w:type="dxa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1B5108" w:rsidRDefault="00064575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Китайская Александра Константиновна</w:t>
            </w:r>
            <w:r w:rsidR="00CF5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EC0" w:rsidRPr="001B5108" w:rsidTr="0003036C">
        <w:trPr>
          <w:trHeight w:val="109"/>
        </w:trPr>
        <w:tc>
          <w:tcPr>
            <w:tcW w:w="2344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Муниципалитет</w:t>
            </w:r>
          </w:p>
        </w:tc>
        <w:tc>
          <w:tcPr>
            <w:tcW w:w="13661" w:type="dxa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1B5108" w:rsidRDefault="00EB7643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Ачинск</w:t>
            </w:r>
          </w:p>
        </w:tc>
      </w:tr>
      <w:tr w:rsidR="002A4D98" w:rsidRPr="001B5108" w:rsidTr="0003036C">
        <w:trPr>
          <w:trHeight w:val="109"/>
        </w:trPr>
        <w:tc>
          <w:tcPr>
            <w:tcW w:w="2344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Организация</w:t>
            </w:r>
          </w:p>
        </w:tc>
        <w:tc>
          <w:tcPr>
            <w:tcW w:w="13661" w:type="dxa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6B35CE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«СШ </w:t>
            </w:r>
            <w:r w:rsidR="00A343AC"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2B1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им.Марачкова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  <w:r w:rsidR="00A343AC"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D98" w:rsidRPr="001B5108" w:rsidTr="0003036C">
        <w:trPr>
          <w:trHeight w:val="109"/>
        </w:trPr>
        <w:tc>
          <w:tcPr>
            <w:tcW w:w="2344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  <w:t>Должность</w:t>
            </w:r>
          </w:p>
        </w:tc>
        <w:tc>
          <w:tcPr>
            <w:tcW w:w="13661" w:type="dxa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A343AC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B1FD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F71F3C" w:rsidRPr="001B5108" w:rsidTr="0003036C">
        <w:trPr>
          <w:trHeight w:val="109"/>
        </w:trPr>
        <w:tc>
          <w:tcPr>
            <w:tcW w:w="2344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5B336C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</w:rPr>
            </w:pPr>
            <w:r w:rsidRPr="005B336C">
              <w:rPr>
                <w:rFonts w:ascii="Times New Roman" w:eastAsia="Times New Roman" w:hAnsi="Times New Roman" w:cs="Times New Roman"/>
                <w:color w:val="414141"/>
              </w:rPr>
              <w:t>Профессиональные дефициты / Задачи на предстоящий период</w:t>
            </w:r>
          </w:p>
        </w:tc>
        <w:tc>
          <w:tcPr>
            <w:tcW w:w="2119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5B336C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36C">
              <w:rPr>
                <w:rFonts w:ascii="Times New Roman" w:eastAsia="Times New Roman" w:hAnsi="Times New Roman" w:cs="Times New Roman"/>
              </w:rPr>
              <w:t>Образовательные задачи</w:t>
            </w:r>
          </w:p>
        </w:tc>
        <w:tc>
          <w:tcPr>
            <w:tcW w:w="6922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5B336C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36C">
              <w:rPr>
                <w:rFonts w:ascii="Times New Roman" w:eastAsia="Times New Roman" w:hAnsi="Times New Roman" w:cs="Times New Roman"/>
              </w:rPr>
              <w:t>Действия, мероприятия по реализации образовательных задач</w:t>
            </w:r>
          </w:p>
        </w:tc>
        <w:tc>
          <w:tcPr>
            <w:tcW w:w="1695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410F6" w:rsidRPr="005B336C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36C">
              <w:rPr>
                <w:rFonts w:ascii="Times New Roman" w:eastAsia="Times New Roman" w:hAnsi="Times New Roman" w:cs="Times New Roman"/>
              </w:rPr>
              <w:t>Примерное время, разбитое по этапам</w:t>
            </w:r>
          </w:p>
          <w:p w:rsidR="005A34C9" w:rsidRPr="005B336C" w:rsidRDefault="00A410F6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36C">
              <w:rPr>
                <w:rFonts w:ascii="Times New Roman" w:eastAsia="Times New Roman" w:hAnsi="Times New Roman" w:cs="Times New Roman"/>
              </w:rPr>
              <w:t>(указать даты / месяц(ы), год)</w:t>
            </w:r>
          </w:p>
        </w:tc>
        <w:tc>
          <w:tcPr>
            <w:tcW w:w="2925" w:type="dxa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5B336C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36C">
              <w:rPr>
                <w:rFonts w:ascii="Times New Roman" w:eastAsia="Times New Roman" w:hAnsi="Times New Roman" w:cs="Times New Roman"/>
              </w:rPr>
              <w:t>Форма предъявления результата</w:t>
            </w:r>
          </w:p>
        </w:tc>
      </w:tr>
      <w:tr w:rsidR="00F71F3C" w:rsidRPr="001B5108" w:rsidTr="0003036C">
        <w:trPr>
          <w:trHeight w:val="109"/>
        </w:trPr>
        <w:tc>
          <w:tcPr>
            <w:tcW w:w="2344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B510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2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1B5108" w:rsidRDefault="005A34C9" w:rsidP="00F71F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5E6" w:rsidRPr="001B5108" w:rsidTr="0003036C">
        <w:trPr>
          <w:trHeight w:val="546"/>
        </w:trPr>
        <w:tc>
          <w:tcPr>
            <w:tcW w:w="2344" w:type="dxa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03036C" w:rsidRDefault="008E57A2" w:rsidP="00CF508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Испытываю затруднения в формировании навыков и умений </w:t>
            </w:r>
            <w:r w:rsidR="007031D2" w:rsidRPr="0003036C">
              <w:rPr>
                <w:rFonts w:ascii="Times New Roman" w:hAnsi="Times New Roman" w:cs="Times New Roman"/>
                <w:sz w:val="24"/>
                <w:szCs w:val="24"/>
              </w:rPr>
              <w:t>читательской компетентности – одной из составляющих функциональной грамотности младших школьников.</w:t>
            </w:r>
          </w:p>
        </w:tc>
        <w:tc>
          <w:tcPr>
            <w:tcW w:w="2119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7031D2" w:rsidRPr="0003036C" w:rsidRDefault="00D959FD" w:rsidP="00D959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 w:rsidR="007031D2"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теорию по повышению развития формирования читательской компетентности</w:t>
            </w:r>
            <w:r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59FD" w:rsidRPr="0003036C" w:rsidRDefault="00D959FD" w:rsidP="00D959F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2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7A5E" w:rsidRPr="0003036C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подходящую литературу</w:t>
            </w:r>
            <w:r w:rsidR="003F3BEF"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</w:p>
          <w:p w:rsidR="005353A4" w:rsidRPr="0003036C" w:rsidRDefault="005353A4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«Читательская компетентность младших школьников: сущность, структура, показатели»,</w:t>
              </w:r>
            </w:hyperlink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автор — Колганова Наталья Евгеньевна.</w:t>
            </w:r>
          </w:p>
          <w:p w:rsidR="00C96B00" w:rsidRPr="0003036C" w:rsidRDefault="00952746" w:rsidP="00550293">
            <w:pPr>
              <w:keepNext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3036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Анастасия Владимировна </w:t>
            </w:r>
            <w:proofErr w:type="spellStart"/>
            <w:r w:rsidRPr="0003036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Булеца</w:t>
            </w:r>
            <w:proofErr w:type="spellEnd"/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«Формирование читательской грамотности младших школьников в структуре функциональной грамотности обучающихся».</w:t>
              </w:r>
            </w:hyperlink>
          </w:p>
          <w:p w:rsidR="00952746" w:rsidRPr="0003036C" w:rsidRDefault="00952746" w:rsidP="00550293">
            <w:pPr>
              <w:keepNext/>
              <w:spacing w:after="0" w:line="240" w:lineRule="auto"/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3036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И. О. Титова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«Система работы по формированию читательской грамотности младших школьников»</w:t>
              </w:r>
            </w:hyperlink>
          </w:p>
          <w:p w:rsidR="00952746" w:rsidRPr="0003036C" w:rsidRDefault="005353A4" w:rsidP="00550293">
            <w:pPr>
              <w:keepNext/>
              <w:spacing w:after="0" w:line="240" w:lineRule="auto"/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036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3036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 М. Мороз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«Читательская грамотность младших школьников»</w:t>
              </w:r>
            </w:hyperlink>
          </w:p>
          <w:p w:rsidR="00952746" w:rsidRPr="0003036C" w:rsidRDefault="005353A4" w:rsidP="0055029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hyperlink r:id="rId12" w:history="1"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«Внедрение в практику работы современных образовательных технологий, направленных на формирование читательской компетентности младших школьников»,</w:t>
              </w:r>
            </w:hyperlink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авторы — Гетманская Елена Геннадьевна и Долгова Светлана 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Валерьевна.</w:t>
            </w:r>
          </w:p>
          <w:p w:rsidR="005353A4" w:rsidRPr="0003036C" w:rsidRDefault="005353A4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293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F3BEF" w:rsidRPr="0003036C">
              <w:rPr>
                <w:rFonts w:ascii="Times New Roman" w:hAnsi="Times New Roman" w:cs="Times New Roman"/>
                <w:sz w:val="24"/>
                <w:szCs w:val="24"/>
              </w:rPr>
              <w:t>Прослушать</w:t>
            </w: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  <w:proofErr w:type="spellStart"/>
            <w:r w:rsidRPr="0003036C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3036C">
              <w:rPr>
                <w:rFonts w:ascii="Times New Roman" w:hAnsi="Times New Roman" w:cs="Times New Roman"/>
                <w:sz w:val="24"/>
                <w:szCs w:val="24"/>
              </w:rPr>
              <w:t>, конференций</w:t>
            </w:r>
            <w:r w:rsidR="003F3BEF" w:rsidRPr="0003036C">
              <w:rPr>
                <w:rFonts w:ascii="Times New Roman" w:hAnsi="Times New Roman" w:cs="Times New Roman"/>
                <w:sz w:val="24"/>
                <w:szCs w:val="24"/>
              </w:rPr>
              <w:t>; использовать данные материалы в практике:</w:t>
            </w:r>
          </w:p>
          <w:p w:rsidR="00C96B00" w:rsidRPr="0003036C" w:rsidRDefault="005353A4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030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«Формирование и проверка читательской компетентности у младших школьников»</w:t>
              </w:r>
            </w:hyperlink>
          </w:p>
          <w:p w:rsidR="005353A4" w:rsidRPr="0003036C" w:rsidRDefault="005353A4" w:rsidP="005353A4">
            <w:pPr>
              <w:pStyle w:val="1"/>
              <w:shd w:val="clear" w:color="auto" w:fill="FFFFFF"/>
              <w:spacing w:before="0" w:beforeAutospacing="0" w:after="0" w:afterAutospacing="0" w:line="22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3036C"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03036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36C">
              <w:rPr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03036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03036C">
                <w:rPr>
                  <w:rStyle w:val="a8"/>
                  <w:b w:val="0"/>
                  <w:bCs w:val="0"/>
                  <w:sz w:val="24"/>
                  <w:szCs w:val="24"/>
                </w:rPr>
                <w:t>«Формирование функциональной грамотности в начальной школе»</w:t>
              </w:r>
            </w:hyperlink>
          </w:p>
          <w:p w:rsidR="005353A4" w:rsidRPr="0003036C" w:rsidRDefault="00616F6B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proofErr w:type="spellStart"/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Вебинар</w:t>
              </w:r>
              <w:proofErr w:type="spellEnd"/>
              <w:r w:rsidRPr="0003036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«Трудности чтения и понимания прочитанного у младших школьников: практические рекомендации для педагогов и родителей»</w:t>
              </w:r>
            </w:hyperlink>
          </w:p>
          <w:p w:rsidR="005445E6" w:rsidRPr="0003036C" w:rsidRDefault="004E1AE1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5E6" w:rsidRPr="00030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45E6"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курсы повышения</w:t>
            </w:r>
            <w:r w:rsidR="007474E8"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квалификации </w:t>
            </w:r>
            <w:r w:rsidR="00616F6B" w:rsidRPr="0003036C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по формированию функциональной грамотности обучающихся»</w:t>
            </w:r>
          </w:p>
          <w:p w:rsidR="007474E8" w:rsidRPr="0003036C" w:rsidRDefault="00414532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3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https://lk.eduregion.ru/user-course/platform/1012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 w:rsidR="004145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445E6" w:rsidRPr="0003036C" w:rsidRDefault="001C3B55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16F6B" w:rsidRPr="000303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414532" w:rsidRPr="001B5108" w:rsidRDefault="00414532" w:rsidP="0041453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1B510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теме «Формирование </w:t>
            </w:r>
            <w:r w:rsidRPr="0003036C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 xml:space="preserve">навыков и умений </w:t>
            </w:r>
            <w:r w:rsidRPr="0003036C">
              <w:rPr>
                <w:rFonts w:ascii="Times New Roman" w:hAnsi="Times New Roman" w:cs="Times New Roman"/>
                <w:sz w:val="24"/>
                <w:szCs w:val="24"/>
              </w:rPr>
              <w:t>читательской компетентности</w:t>
            </w:r>
            <w:r w:rsidRPr="001B51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E6" w:rsidRPr="0003036C" w:rsidRDefault="005445E6" w:rsidP="00F7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5E6" w:rsidRPr="001B5108" w:rsidTr="00B941FD">
        <w:trPr>
          <w:trHeight w:val="4738"/>
        </w:trPr>
        <w:tc>
          <w:tcPr>
            <w:tcW w:w="2344" w:type="dxa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1B5108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256ACE" w:rsidRDefault="009B391B" w:rsidP="009B39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</w:t>
            </w:r>
            <w:r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своить методы и приёмы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формирования читательской компетентности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2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256ACE" w:rsidRDefault="00256ACE" w:rsidP="00256ACE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16F6B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тренировочных упражнений по развитию читательской компетентности обучающихся.</w:t>
            </w:r>
          </w:p>
          <w:p w:rsidR="00256ACE" w:rsidRPr="00256ACE" w:rsidRDefault="00256ACE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6ACE" w:rsidRPr="00256ACE" w:rsidRDefault="00256ACE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A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Разработка и организация системы контроля уровня </w:t>
            </w:r>
            <w:proofErr w:type="spellStart"/>
            <w:r w:rsidRPr="00256A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256A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показателей читательской компетентности</w:t>
            </w:r>
          </w:p>
          <w:p w:rsidR="00256ACE" w:rsidRPr="00256ACE" w:rsidRDefault="00256ACE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A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диагностика, тестирование для отслеживания динамики формирования читательской компетентности.</w:t>
            </w:r>
          </w:p>
          <w:p w:rsidR="00256ACE" w:rsidRPr="00256ACE" w:rsidRDefault="00256ACE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6ACE" w:rsidRPr="00256ACE" w:rsidRDefault="00256ACE" w:rsidP="007C76B8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256ACE" w:rsidRDefault="00414532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2024г.</w:t>
            </w:r>
            <w:r w:rsidR="00616F6B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036C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C7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  <w:r w:rsidR="0003036C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F6B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5445E6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445E6" w:rsidRPr="00256ACE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5E6" w:rsidRPr="00256ACE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5E6" w:rsidRPr="00256ACE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5E6" w:rsidRPr="00256ACE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5E6" w:rsidRPr="00256ACE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5E6" w:rsidRPr="00256ACE" w:rsidRDefault="005445E6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445E6" w:rsidRPr="00256ACE" w:rsidRDefault="005445E6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16F6B"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дидактического материала </w:t>
            </w:r>
          </w:p>
          <w:p w:rsidR="0003036C" w:rsidRPr="00256ACE" w:rsidRDefault="0003036C" w:rsidP="00030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>2. Отслеживание динамики формирования читательской компетентности школьников с помощью диагностик и тестирования.</w:t>
            </w:r>
          </w:p>
          <w:p w:rsidR="0003036C" w:rsidRPr="00256ACE" w:rsidRDefault="0003036C" w:rsidP="00030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полученных результатов и образовательных достижений.</w:t>
            </w:r>
          </w:p>
          <w:p w:rsidR="005445E6" w:rsidRPr="00256ACE" w:rsidRDefault="005445E6" w:rsidP="00660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91B" w:rsidRPr="001B5108" w:rsidTr="0003036C">
        <w:trPr>
          <w:trHeight w:val="547"/>
        </w:trPr>
        <w:tc>
          <w:tcPr>
            <w:tcW w:w="2344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9B391B" w:rsidRPr="001B5108" w:rsidRDefault="009B391B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9B391B" w:rsidRPr="00256ACE" w:rsidRDefault="0066073E" w:rsidP="0025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9B391B" w:rsidRPr="001B5108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методы оценивания</w:t>
            </w:r>
            <w:r w:rsidR="009B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391B" w:rsidRPr="0003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читательской компетентности</w:t>
            </w:r>
          </w:p>
        </w:tc>
        <w:tc>
          <w:tcPr>
            <w:tcW w:w="6922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66073E" w:rsidRDefault="0066073E" w:rsidP="0066073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Изучить основные подходы к оцениванию  читательской компетентности  учащихся:</w:t>
            </w:r>
          </w:p>
          <w:p w:rsidR="0066073E" w:rsidRDefault="0066073E" w:rsidP="0066073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16" w:history="1">
              <w:r w:rsidR="00414532" w:rsidRPr="0066614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https://cyberleninka.ru/article/n/otsenka-urovney-razvitiya-</w:t>
              </w:r>
              <w:r w:rsidR="00414532" w:rsidRPr="0066614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chitatelskoy-kompetentnosti-mladshih-shkolnikov</w:t>
              </w:r>
            </w:hyperlink>
          </w:p>
          <w:p w:rsidR="009B391B" w:rsidRDefault="0066073E" w:rsidP="00256ACE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hyperlink r:id="rId17" w:history="1">
              <w:r w:rsidRPr="0066614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https://nsportal.ru/nachalnaya-shkola/materialy-mo/2022/11/06/novye-podhody-k-otsenki-urovnya-sformirovannosti</w:t>
              </w:r>
            </w:hyperlink>
          </w:p>
          <w:p w:rsidR="0066073E" w:rsidRDefault="0066073E" w:rsidP="00256ACE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hyperlink r:id="rId18" w:history="1">
              <w:r w:rsidRPr="0066614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https://eee-science.ru/wp-content/uploads/2022/11/Читательская-грамота_подходы-у-оценке.pdf</w:t>
              </w:r>
            </w:hyperlink>
          </w:p>
          <w:p w:rsidR="0066073E" w:rsidRDefault="00D620B8" w:rsidP="0066073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6073E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Применить основные подходы к оцениванию  читательской компетентности  учащихся на уроках литературного чтения.</w:t>
            </w:r>
          </w:p>
          <w:p w:rsidR="00414532" w:rsidRDefault="00414532" w:rsidP="0041453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Провести итоговую диагностику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читательской компетентности на уроках литературного чтения во 2 классах.</w:t>
            </w:r>
          </w:p>
          <w:p w:rsidR="0066073E" w:rsidRPr="00256ACE" w:rsidRDefault="0066073E" w:rsidP="00256ACE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9B391B" w:rsidRPr="00256ACE" w:rsidRDefault="007C76B8" w:rsidP="00F71F3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  <w:r w:rsidR="00414532">
              <w:rPr>
                <w:rFonts w:ascii="Times New Roman" w:eastAsia="Times New Roman" w:hAnsi="Times New Roman" w:cs="Times New Roman"/>
                <w:sz w:val="24"/>
                <w:szCs w:val="24"/>
              </w:rPr>
              <w:t>– май 2025 года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66073E" w:rsidRPr="00256ACE" w:rsidRDefault="0066073E" w:rsidP="00660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образовательной практики на ШМО, </w:t>
            </w:r>
            <w:proofErr w:type="spellStart"/>
            <w:proofErr w:type="gramStart"/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пед.совете</w:t>
            </w:r>
            <w:proofErr w:type="spellEnd"/>
            <w:proofErr w:type="gramEnd"/>
            <w:r w:rsidRPr="00256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91B" w:rsidRPr="00256ACE" w:rsidRDefault="00414532" w:rsidP="00F71F3C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Банк заданий для учащихся 2 классов.</w:t>
            </w:r>
          </w:p>
        </w:tc>
      </w:tr>
    </w:tbl>
    <w:p w:rsidR="002565E6" w:rsidRPr="001B5108" w:rsidRDefault="002565E6" w:rsidP="00616F6B">
      <w:pPr>
        <w:keepNext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65E6" w:rsidRPr="001B5108" w:rsidSect="00F71F3C">
      <w:pgSz w:w="16838" w:h="11906" w:orient="landscape"/>
      <w:pgMar w:top="851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7B3"/>
    <w:multiLevelType w:val="hybridMultilevel"/>
    <w:tmpl w:val="FD5E91B8"/>
    <w:lvl w:ilvl="0" w:tplc="39B8A7D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DFC"/>
    <w:multiLevelType w:val="hybridMultilevel"/>
    <w:tmpl w:val="0188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43D2"/>
    <w:multiLevelType w:val="hybridMultilevel"/>
    <w:tmpl w:val="1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D70DB"/>
    <w:multiLevelType w:val="hybridMultilevel"/>
    <w:tmpl w:val="2214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4C9"/>
    <w:rsid w:val="0003036C"/>
    <w:rsid w:val="000331A4"/>
    <w:rsid w:val="000528CB"/>
    <w:rsid w:val="00052ED5"/>
    <w:rsid w:val="00064575"/>
    <w:rsid w:val="000911E8"/>
    <w:rsid w:val="001866DD"/>
    <w:rsid w:val="001A0456"/>
    <w:rsid w:val="001B5108"/>
    <w:rsid w:val="001C3B55"/>
    <w:rsid w:val="001F5027"/>
    <w:rsid w:val="002565E6"/>
    <w:rsid w:val="00256ACE"/>
    <w:rsid w:val="002A4D98"/>
    <w:rsid w:val="002B1FD6"/>
    <w:rsid w:val="003000D7"/>
    <w:rsid w:val="00326478"/>
    <w:rsid w:val="003853AB"/>
    <w:rsid w:val="003C3551"/>
    <w:rsid w:val="003F2949"/>
    <w:rsid w:val="003F3175"/>
    <w:rsid w:val="003F3BEF"/>
    <w:rsid w:val="00414532"/>
    <w:rsid w:val="00417288"/>
    <w:rsid w:val="004C7483"/>
    <w:rsid w:val="004E1AE1"/>
    <w:rsid w:val="004F5A26"/>
    <w:rsid w:val="00506964"/>
    <w:rsid w:val="005353A4"/>
    <w:rsid w:val="005445E6"/>
    <w:rsid w:val="00545C01"/>
    <w:rsid w:val="00550293"/>
    <w:rsid w:val="005A0323"/>
    <w:rsid w:val="005A2EC6"/>
    <w:rsid w:val="005A34C9"/>
    <w:rsid w:val="005B336C"/>
    <w:rsid w:val="005C6EC0"/>
    <w:rsid w:val="00616F6B"/>
    <w:rsid w:val="0066073E"/>
    <w:rsid w:val="00692D87"/>
    <w:rsid w:val="00697608"/>
    <w:rsid w:val="006A46CF"/>
    <w:rsid w:val="006B35CE"/>
    <w:rsid w:val="006F3993"/>
    <w:rsid w:val="007031D2"/>
    <w:rsid w:val="00730687"/>
    <w:rsid w:val="007474E8"/>
    <w:rsid w:val="0078507C"/>
    <w:rsid w:val="007A20B7"/>
    <w:rsid w:val="007C76B8"/>
    <w:rsid w:val="007D7A5E"/>
    <w:rsid w:val="007E02E5"/>
    <w:rsid w:val="00886529"/>
    <w:rsid w:val="008A015C"/>
    <w:rsid w:val="008C0BDF"/>
    <w:rsid w:val="008E0E40"/>
    <w:rsid w:val="008E57A2"/>
    <w:rsid w:val="0090280C"/>
    <w:rsid w:val="00907BEF"/>
    <w:rsid w:val="00952746"/>
    <w:rsid w:val="009A3162"/>
    <w:rsid w:val="009B391B"/>
    <w:rsid w:val="00A343AC"/>
    <w:rsid w:val="00A410F6"/>
    <w:rsid w:val="00AA1AE0"/>
    <w:rsid w:val="00B34486"/>
    <w:rsid w:val="00B941FD"/>
    <w:rsid w:val="00BA33BB"/>
    <w:rsid w:val="00C96B00"/>
    <w:rsid w:val="00CF5082"/>
    <w:rsid w:val="00D109FF"/>
    <w:rsid w:val="00D620B8"/>
    <w:rsid w:val="00D959FD"/>
    <w:rsid w:val="00DB2D84"/>
    <w:rsid w:val="00E5772D"/>
    <w:rsid w:val="00EB7643"/>
    <w:rsid w:val="00F11539"/>
    <w:rsid w:val="00F36215"/>
    <w:rsid w:val="00F501C9"/>
    <w:rsid w:val="00F663D3"/>
    <w:rsid w:val="00F71F3C"/>
    <w:rsid w:val="00F8350E"/>
    <w:rsid w:val="00FB2C49"/>
    <w:rsid w:val="00FD5B11"/>
    <w:rsid w:val="00FE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F30E-3831-4DFD-AD23-E2D4E212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64"/>
  </w:style>
  <w:style w:type="paragraph" w:styleId="1">
    <w:name w:val="heading 1"/>
    <w:basedOn w:val="a"/>
    <w:link w:val="10"/>
    <w:uiPriority w:val="9"/>
    <w:qFormat/>
    <w:rsid w:val="00692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64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F29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2D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2B1FD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chitatelskaya-kompetentnost-mladshih-shkolnikov-suschnost-struktura-pokazateli" TargetMode="External"/><Relationship Id="rId13" Type="http://schemas.openxmlformats.org/officeDocument/2006/relationships/hyperlink" Target="https://www.uchmet.ru/events/item/2200540/" TargetMode="External"/><Relationship Id="rId18" Type="http://schemas.openxmlformats.org/officeDocument/2006/relationships/hyperlink" Target="https://eee-science.ru/wp-content/uploads/2022/11/&#1063;&#1080;&#1090;&#1072;&#1090;&#1077;&#1083;&#1100;&#1089;&#1082;&#1072;&#1103;-&#1075;&#1088;&#1072;&#1084;&#1086;&#1090;&#1072;_&#1087;&#1086;&#1076;&#1093;&#1086;&#1076;&#1099;-&#1091;-&#1086;&#1094;&#1077;&#1085;&#1082;&#1077;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oluch.ru/archive/452/99566/" TargetMode="External"/><Relationship Id="rId17" Type="http://schemas.openxmlformats.org/officeDocument/2006/relationships/hyperlink" Target="https://nsportal.ru/nachalnaya-shkola/materialy-mo/2022/11/06/novye-podhody-k-otsenki-urovnya-sformirovanno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otsenka-urovney-razvitiya-chitatelskoy-kompetentnosti-mladshih-shkolnik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oluch.ru/archive/517/11349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trudnosti-cteniia-i-ponimaniia-procitannogo-u-mladsix-skolnikov-prakticeskie-rekomendacii-dlia-pedagogov-i-roditelei" TargetMode="External"/><Relationship Id="rId10" Type="http://schemas.openxmlformats.org/officeDocument/2006/relationships/hyperlink" Target="http://vestospu.ru/archive/2023/articles/4/17_4_202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gpgu.ru/upload/iblock/349/buletsa_a_v_formirovanie_chitatelskoy_gramotnosti_mladshikh_shkolnikov_v_strukture_funktsionalnoy_gr.pdf" TargetMode="External"/><Relationship Id="rId14" Type="http://schemas.openxmlformats.org/officeDocument/2006/relationships/hyperlink" Target="https://vk.com/video-212454770_456239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D0E6-E9EA-476E-AC1E-C8B90BA9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А.К.Китайская</dc:creator>
  <cp:lastModifiedBy>user</cp:lastModifiedBy>
  <cp:revision>7</cp:revision>
  <dcterms:created xsi:type="dcterms:W3CDTF">2024-10-10T15:17:00Z</dcterms:created>
  <dcterms:modified xsi:type="dcterms:W3CDTF">2024-10-15T01:12:00Z</dcterms:modified>
</cp:coreProperties>
</file>